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13B90" w14:textId="6B1D587D" w:rsidR="00AA46A5" w:rsidRDefault="00AA46A5" w:rsidP="00AA46A5">
      <w:pPr>
        <w:rPr>
          <w:rStyle w:val="C1HJump"/>
          <w:color w:val="000000" w:themeColor="text1"/>
        </w:rPr>
      </w:pPr>
    </w:p>
    <w:p w14:paraId="5FD8B350" w14:textId="41C31503" w:rsidR="00AA46A5" w:rsidRPr="00E767F8" w:rsidRDefault="00AA46A5" w:rsidP="00AA46A5">
      <w:pPr>
        <w:rPr>
          <w:rStyle w:val="C1HJump"/>
          <w:vanish/>
          <w:color w:val="000000" w:themeColor="text1"/>
        </w:rPr>
      </w:pPr>
      <w:r w:rsidRPr="00E767F8">
        <w:rPr>
          <w:rStyle w:val="C1HJump"/>
          <w:vanish/>
          <w:color w:val="000000" w:themeColor="text1"/>
        </w:rPr>
        <w:t>NR ACM and COMP</w:t>
      </w:r>
    </w:p>
    <w:p w14:paraId="6DA0B473" w14:textId="210D98E1" w:rsidR="00AA46A5" w:rsidRPr="00E767F8" w:rsidRDefault="00C73526" w:rsidP="00AA46A5">
      <w:pPr>
        <w:rPr>
          <w:rStyle w:val="C1HJump"/>
          <w:vanish/>
          <w:color w:val="000000" w:themeColor="text1"/>
        </w:rPr>
      </w:pPr>
      <w:r>
        <w:rPr>
          <w:rStyle w:val="C1HJump"/>
          <w:vanish/>
          <w:color w:val="000000" w:themeColor="text1"/>
        </w:rPr>
        <w:t>NR-</w:t>
      </w:r>
      <w:r w:rsidR="00E767F8" w:rsidRPr="00E767F8">
        <w:rPr>
          <w:rStyle w:val="C1HJump"/>
          <w:vanish/>
          <w:color w:val="000000" w:themeColor="text1"/>
        </w:rPr>
        <w:t>ACM</w:t>
      </w:r>
    </w:p>
    <w:p w14:paraId="5495590C" w14:textId="77777777" w:rsidR="00E767F8" w:rsidRDefault="00E767F8" w:rsidP="00AA46A5">
      <w:pPr>
        <w:rPr>
          <w:rStyle w:val="C1HJump"/>
          <w:color w:val="000000" w:themeColor="text1"/>
        </w:rPr>
      </w:pPr>
    </w:p>
    <w:p w14:paraId="4606EEAF" w14:textId="77777777" w:rsidR="00AA46A5" w:rsidRDefault="00AA46A5" w:rsidP="00AA46A5">
      <w:pPr>
        <w:pStyle w:val="Heading6"/>
        <w:rPr>
          <w:rFonts w:eastAsia="Times New Roman"/>
        </w:rPr>
      </w:pPr>
      <w:r>
        <w:rPr>
          <w:rFonts w:eastAsia="Times New Roman"/>
        </w:rPr>
        <w:t>Section 1.1</w:t>
      </w:r>
      <w:r w:rsidRPr="00A110E7">
        <w:rPr>
          <w:rFonts w:eastAsia="Times New Roman"/>
        </w:rPr>
        <w:t xml:space="preserve"> – Links to Sections </w:t>
      </w:r>
      <w:bookmarkStart w:id="0" w:name="_Hlk504737126"/>
      <w:r>
        <w:t>§</w:t>
      </w:r>
      <w:bookmarkEnd w:id="0"/>
      <w:r w:rsidRPr="00A110E7">
        <w:rPr>
          <w:rFonts w:eastAsia="Times New Roman"/>
        </w:rPr>
        <w:t xml:space="preserve">10-101 </w:t>
      </w:r>
      <w:r>
        <w:rPr>
          <w:rFonts w:eastAsia="Times New Roman"/>
        </w:rPr>
        <w:t>through</w:t>
      </w:r>
      <w:r w:rsidRPr="00A110E7">
        <w:rPr>
          <w:rFonts w:eastAsia="Times New Roman"/>
        </w:rPr>
        <w:t xml:space="preserve"> </w:t>
      </w:r>
      <w:r>
        <w:t>§</w:t>
      </w:r>
      <w:r w:rsidRPr="00A110E7">
        <w:rPr>
          <w:rFonts w:eastAsia="Times New Roman"/>
        </w:rPr>
        <w:t>10-1</w:t>
      </w:r>
      <w:r>
        <w:rPr>
          <w:rFonts w:eastAsia="Times New Roman"/>
        </w:rPr>
        <w:t>10</w:t>
      </w:r>
    </w:p>
    <w:p w14:paraId="12FF9495" w14:textId="77777777" w:rsidR="00AA46A5" w:rsidRPr="00A110E7" w:rsidRDefault="00AA46A5" w:rsidP="00AA46A5">
      <w:pPr>
        <w:spacing w:after="120"/>
        <w:rPr>
          <w:rFonts w:eastAsia="Calibri" w:cs="Times New Roman"/>
        </w:rPr>
      </w:pPr>
      <w:r w:rsidRPr="00A110E7">
        <w:rPr>
          <w:rFonts w:ascii="Times New Roman" w:eastAsia="Calibri" w:hAnsi="Times New Roman" w:cs="Times New Roman"/>
          <w:b/>
          <w:caps/>
          <w:vanish/>
          <w:sz w:val="20"/>
          <w:szCs w:val="20"/>
        </w:rPr>
        <w:t>'</w:t>
      </w:r>
      <w:r w:rsidRPr="00A110E7">
        <w:rPr>
          <w:rFonts w:eastAsia="Calibri" w:cs="Times New Roman"/>
        </w:rPr>
        <w:t>Standards</w:t>
      </w:r>
    </w:p>
    <w:p w14:paraId="71F3C5E8" w14:textId="77777777" w:rsidR="00AA46A5" w:rsidRPr="00A110E7" w:rsidRDefault="00AA46A5" w:rsidP="00AA46A5">
      <w:pPr>
        <w:rPr>
          <w:rFonts w:eastAsia="Calibri" w:cs="Times New Roman"/>
          <w:color w:val="008000"/>
        </w:rPr>
      </w:pPr>
      <w:r w:rsidRPr="00A110E7">
        <w:rPr>
          <w:rFonts w:eastAsia="Calibri" w:cs="Times New Roman"/>
          <w:color w:val="008000"/>
        </w:rPr>
        <w:t>10-101 – SCOPE|topic=10-101 – SCOPE;window=proc</w:t>
      </w:r>
    </w:p>
    <w:p w14:paraId="2FFC54CF" w14:textId="77777777" w:rsidR="00AA46A5" w:rsidRPr="00A110E7" w:rsidRDefault="00AA46A5" w:rsidP="00AA46A5">
      <w:pPr>
        <w:rPr>
          <w:rFonts w:eastAsia="Calibri" w:cs="Times New Roman"/>
        </w:rPr>
      </w:pPr>
      <w:r w:rsidRPr="00A110E7">
        <w:rPr>
          <w:rFonts w:eastAsia="Calibri" w:cs="Times New Roman"/>
          <w:color w:val="008000"/>
        </w:rPr>
        <w:t>10-102 – DEFINITIONS|topic=10-102 – DEFINITIONS;window=proc</w:t>
      </w:r>
    </w:p>
    <w:p w14:paraId="7E4E6907" w14:textId="77777777" w:rsidR="00AA46A5" w:rsidRPr="00A110E7" w:rsidRDefault="00AA46A5" w:rsidP="00AA46A5">
      <w:pPr>
        <w:rPr>
          <w:rFonts w:eastAsia="Calibri" w:cs="Times New Roman"/>
        </w:rPr>
      </w:pPr>
      <w:r w:rsidRPr="00A110E7">
        <w:rPr>
          <w:rFonts w:eastAsia="Calibri" w:cs="Times New Roman"/>
          <w:color w:val="008000"/>
        </w:rPr>
        <w:t>10-103 – PERMIT, CERTIFICATE, INFORMATIONAL, AND ENFORCEMENT REQUIREMENTS FOR DESIGNERS, INSTALLERS, BUILDERS, MANUFACTURERS, AND SUPPLIERS|topic=10-103 – PERMIT\, CERTIFICATE\, INFORMATIONAL\, AND ENFORCEMENT REQUIREMENTS FOR DESIGNERS\, INSTALLERS\, BUILDERS\, MANUFACTURERS\, AND SUPPLIERS;window=proc</w:t>
      </w:r>
    </w:p>
    <w:p w14:paraId="21203DF6" w14:textId="77777777" w:rsidR="00AA46A5" w:rsidRPr="00A110E7" w:rsidRDefault="00AA46A5" w:rsidP="00AA46A5">
      <w:pPr>
        <w:rPr>
          <w:rFonts w:eastAsia="Calibri" w:cs="Times New Roman"/>
        </w:rPr>
      </w:pPr>
      <w:r w:rsidRPr="00A110E7">
        <w:rPr>
          <w:rFonts w:eastAsia="Calibri" w:cs="Times New Roman"/>
          <w:color w:val="008000"/>
        </w:rPr>
        <w:t>10-104 – EXCEPTIONAL DESIGNS|topic=10-104 – EXCEPTIONAL DESIGNS;window=proc</w:t>
      </w:r>
    </w:p>
    <w:p w14:paraId="6CF5C920" w14:textId="77777777" w:rsidR="00AA46A5" w:rsidRPr="00A110E7" w:rsidRDefault="00AA46A5" w:rsidP="00AA46A5">
      <w:pPr>
        <w:rPr>
          <w:rFonts w:eastAsia="Calibri" w:cs="Times New Roman"/>
        </w:rPr>
      </w:pPr>
      <w:r w:rsidRPr="00A110E7">
        <w:rPr>
          <w:rFonts w:eastAsia="Calibri" w:cs="Times New Roman"/>
          <w:color w:val="008000"/>
        </w:rPr>
        <w:t>10-105 – ENFORCEMENT BY THE COMMISSION|topic=10-105 – ENFORCEMENT BY THE COMMISSION;window=proc</w:t>
      </w:r>
    </w:p>
    <w:p w14:paraId="2C31CAC2" w14:textId="77777777" w:rsidR="00AA46A5" w:rsidRPr="00A110E7" w:rsidRDefault="00AA46A5" w:rsidP="00AA46A5">
      <w:pPr>
        <w:rPr>
          <w:rFonts w:eastAsia="Calibri" w:cs="Times New Roman"/>
        </w:rPr>
      </w:pPr>
      <w:r w:rsidRPr="00A110E7">
        <w:rPr>
          <w:rFonts w:eastAsia="Calibri" w:cs="Times New Roman"/>
          <w:color w:val="008000"/>
        </w:rPr>
        <w:t>10-106 – LOCALLY ADOPTED ENERGY STANDARDS|topic=10-106 – LOCALLY ADOPTED ENERGY STANDARDS;window=proc</w:t>
      </w:r>
    </w:p>
    <w:p w14:paraId="0D3C5151" w14:textId="77777777" w:rsidR="00AA46A5" w:rsidRPr="00A110E7" w:rsidRDefault="00AA46A5" w:rsidP="00AA46A5">
      <w:pPr>
        <w:rPr>
          <w:rFonts w:eastAsia="Calibri" w:cs="Times New Roman"/>
        </w:rPr>
      </w:pPr>
      <w:r w:rsidRPr="00A110E7">
        <w:rPr>
          <w:rFonts w:eastAsia="Calibri" w:cs="Times New Roman"/>
          <w:color w:val="008000"/>
        </w:rPr>
        <w:t>10-107 – INTERPRETATIONS|topic=10-107 – INTERPRETATIONS;window=proc</w:t>
      </w:r>
    </w:p>
    <w:p w14:paraId="5E0845EC" w14:textId="77777777" w:rsidR="00AA46A5" w:rsidRPr="00A110E7" w:rsidRDefault="00AA46A5" w:rsidP="00AA46A5">
      <w:pPr>
        <w:rPr>
          <w:rFonts w:eastAsia="Calibri" w:cs="Times New Roman"/>
        </w:rPr>
      </w:pPr>
      <w:r w:rsidRPr="00A110E7">
        <w:rPr>
          <w:rFonts w:eastAsia="Calibri" w:cs="Times New Roman"/>
          <w:color w:val="008000"/>
        </w:rPr>
        <w:t>10-108 – EXEMPTION|topic=10-108 – EXEMPTION;window=proc</w:t>
      </w:r>
    </w:p>
    <w:p w14:paraId="7E6F6318" w14:textId="77777777" w:rsidR="00AA46A5" w:rsidRPr="00A110E7" w:rsidRDefault="00AA46A5" w:rsidP="00AA46A5">
      <w:pPr>
        <w:rPr>
          <w:rFonts w:eastAsia="Calibri" w:cs="Times New Roman"/>
        </w:rPr>
      </w:pPr>
      <w:r w:rsidRPr="00A110E7">
        <w:rPr>
          <w:rFonts w:eastAsia="Calibri" w:cs="Times New Roman"/>
          <w:color w:val="008000"/>
        </w:rPr>
        <w:t>10-109 – COMPLIANCE SOFTWARE, ALTERNATIVE COMPONENT PACKAGES, EXCEPTIONAL METHODS, DATA REGISTRIES AND RELATED DATA INPUT SOFTWARE, ALTERNATIVE RESIDENTIAL FIELD VERIFICATION PROTOCOLS, AND ELECTRONIC DOCUMENT REPOSITORIES|topic=10-109 – COMPLIANCE SOFTWARE\, ALTERNATIVE COMPONENT PACKAGES\, EXCEPTIONAL METHODS\, DATA REGISTRIES AND RELATED DATA INPUT SOFTWARE\, ALTERNATIVE RESIDENTIAL FIELD VERIFICATION PROTOCOLS\, AND ELECTRONIC DOCUMENT REPOSITORIES;window=proc</w:t>
      </w:r>
    </w:p>
    <w:p w14:paraId="1239934C" w14:textId="77777777" w:rsidR="00AA46A5" w:rsidRPr="00A110E7" w:rsidRDefault="00AA46A5" w:rsidP="00AA46A5">
      <w:pPr>
        <w:rPr>
          <w:rFonts w:eastAsia="Calibri" w:cs="Times New Roman"/>
        </w:rPr>
      </w:pPr>
      <w:r w:rsidRPr="00A110E7">
        <w:rPr>
          <w:rFonts w:eastAsia="Calibri" w:cs="Times New Roman"/>
          <w:color w:val="008000"/>
        </w:rPr>
        <w:t>10-110 – PROCEDURES FOR CONSIDERATION OF APPLICATIONS UNDER SECTIONS 10-104, 10-106, 10-108, AND 10-109|topic=10-110 – PROCEDURES FOR CONSIDERATION OF APPLICATIONS UNDER SECTIONS 10-104\, 10-106\, 10-108\, AND 10-109;window=proc</w:t>
      </w:r>
    </w:p>
    <w:p w14:paraId="45D47C96" w14:textId="77777777" w:rsidR="00AA46A5" w:rsidRDefault="00AA46A5" w:rsidP="00AA46A5">
      <w:pPr>
        <w:rPr>
          <w:rStyle w:val="C1HJump"/>
          <w:color w:val="000000" w:themeColor="text1"/>
        </w:rPr>
      </w:pPr>
    </w:p>
    <w:p w14:paraId="03BC6641" w14:textId="77777777" w:rsidR="00AA46A5" w:rsidRDefault="00AA46A5" w:rsidP="00AA46A5">
      <w:pPr>
        <w:pStyle w:val="Heading6"/>
      </w:pPr>
      <w:r>
        <w:t>Section 1.6-NR-Related Topics</w:t>
      </w:r>
    </w:p>
    <w:p w14:paraId="6DAB8455" w14:textId="77777777" w:rsidR="00AA46A5" w:rsidRDefault="00AA46A5" w:rsidP="00AA46A5">
      <w:r>
        <w:rPr>
          <w:rStyle w:val="Char-CapsandBoldChar"/>
          <w:rFonts w:eastAsiaTheme="minorHAnsi"/>
          <w:vanish/>
        </w:rPr>
        <w:t>'</w:t>
      </w:r>
      <w:r>
        <w:t>Standards</w:t>
      </w:r>
    </w:p>
    <w:p w14:paraId="68009DF9" w14:textId="77777777" w:rsidR="00AA46A5" w:rsidRDefault="00AA46A5" w:rsidP="00AA46A5">
      <w:r>
        <w:rPr>
          <w:rStyle w:val="C1HJump"/>
        </w:rPr>
        <w:t>140.1 PERFORMANCE APPROACH: ENERGY BUDGETS</w:t>
      </w:r>
      <w:r>
        <w:rPr>
          <w:rStyle w:val="C1HJump"/>
          <w:vanish/>
        </w:rPr>
        <w:t>|topic=SECTION 140.1 – PERFORMANCE APPROACH\: ENERGY BUDGETS;window=proc</w:t>
      </w:r>
    </w:p>
    <w:p w14:paraId="7AB94547" w14:textId="77777777" w:rsidR="00AA46A5" w:rsidRDefault="00AA46A5" w:rsidP="00AA46A5"/>
    <w:p w14:paraId="30A39D3F" w14:textId="77777777" w:rsidR="00AA46A5" w:rsidRDefault="00AA46A5" w:rsidP="00AA46A5">
      <w:pPr>
        <w:pStyle w:val="Heading6"/>
      </w:pPr>
      <w:r>
        <w:t>Section 1.6.1–NR-Related Topics</w:t>
      </w:r>
    </w:p>
    <w:p w14:paraId="0FD43575" w14:textId="77777777" w:rsidR="00AA46A5" w:rsidRDefault="00AA46A5" w:rsidP="00AA46A5">
      <w:r>
        <w:rPr>
          <w:rStyle w:val="Char-CapsandBoldChar"/>
          <w:rFonts w:eastAsiaTheme="minorHAnsi"/>
          <w:vanish/>
        </w:rPr>
        <w:t>'</w:t>
      </w:r>
      <w:r>
        <w:t>Standards</w:t>
      </w:r>
    </w:p>
    <w:p w14:paraId="5B138C7D" w14:textId="77777777" w:rsidR="00AA46A5" w:rsidRDefault="00AA46A5" w:rsidP="00AA46A5">
      <w:pPr>
        <w:rPr>
          <w:rStyle w:val="C1HJump"/>
          <w:vanish/>
          <w:color w:val="000000" w:themeColor="text1"/>
        </w:rPr>
      </w:pPr>
      <w:r>
        <w:rPr>
          <w:rStyle w:val="C1HJump"/>
        </w:rPr>
        <w:t>141.0(a) Additions (Building Energy Efficiency Standards)</w:t>
      </w:r>
      <w:r>
        <w:rPr>
          <w:rStyle w:val="C1HJump"/>
          <w:vanish/>
        </w:rPr>
        <w:t>|topic=(a) Additions;window=proc</w:t>
      </w:r>
    </w:p>
    <w:p w14:paraId="18018016" w14:textId="77777777" w:rsidR="00AA46A5" w:rsidRDefault="00AA46A5" w:rsidP="00AA46A5">
      <w:pPr>
        <w:rPr>
          <w:rStyle w:val="C1HJump"/>
          <w:vanish/>
          <w:color w:val="000000" w:themeColor="text1"/>
        </w:rPr>
      </w:pPr>
      <w:r>
        <w:rPr>
          <w:rStyle w:val="C1HJump"/>
        </w:rPr>
        <w:t>141.0(b) Alterations. (Building Energy Efficiency Standards)</w:t>
      </w:r>
      <w:r>
        <w:rPr>
          <w:rStyle w:val="C1HJump"/>
          <w:vanish/>
        </w:rPr>
        <w:t>|tag=b_Alterations_NR_141_0;window=proc</w:t>
      </w:r>
    </w:p>
    <w:p w14:paraId="0C9B9C52" w14:textId="77777777" w:rsidR="00AA46A5" w:rsidRDefault="00AA46A5" w:rsidP="00AA46A5">
      <w:pPr>
        <w:rPr>
          <w:rStyle w:val="C1HJump"/>
          <w:vanish/>
          <w:color w:val="000000" w:themeColor="text1"/>
        </w:rPr>
      </w:pPr>
    </w:p>
    <w:p w14:paraId="48C89E7A" w14:textId="77777777" w:rsidR="00AA46A5" w:rsidRDefault="00AA46A5" w:rsidP="00AA46A5">
      <w:pPr>
        <w:pStyle w:val="Heading6"/>
      </w:pPr>
      <w:r>
        <w:t>Section 1.6.2-NR-Related Topics</w:t>
      </w:r>
    </w:p>
    <w:p w14:paraId="537479FF" w14:textId="77777777" w:rsidR="00AA46A5" w:rsidRDefault="00AA46A5" w:rsidP="00AA46A5">
      <w:bookmarkStart w:id="1" w:name="_Hlk520379099"/>
      <w:r>
        <w:rPr>
          <w:rStyle w:val="Char-CapsandBoldChar"/>
          <w:rFonts w:eastAsiaTheme="minorHAnsi"/>
          <w:vanish/>
        </w:rPr>
        <w:t>'</w:t>
      </w:r>
      <w:r>
        <w:t xml:space="preserve">Nonresidential Compliance </w:t>
      </w:r>
      <w:r>
        <w:rPr>
          <w:rStyle w:val="Char-CapsandBoldChar"/>
          <w:rFonts w:eastAsiaTheme="minorHAnsi"/>
          <w:vanish/>
        </w:rPr>
        <w:t>'</w:t>
      </w:r>
      <w:r>
        <w:t>Manual</w:t>
      </w:r>
    </w:p>
    <w:bookmarkEnd w:id="1"/>
    <w:p w14:paraId="36791703" w14:textId="77777777" w:rsidR="00AA46A5" w:rsidRDefault="00AA46A5" w:rsidP="00AA46A5">
      <w:pPr>
        <w:rPr>
          <w:rStyle w:val="C1HJump"/>
          <w:vanish/>
        </w:rPr>
      </w:pPr>
      <w:r>
        <w:rPr>
          <w:rStyle w:val="C1HJump"/>
        </w:rPr>
        <w:t xml:space="preserve">11.4 </w:t>
      </w:r>
      <w:bookmarkStart w:id="2" w:name="_Toc372803161"/>
      <w:bookmarkStart w:id="3" w:name="_Toc366830903"/>
      <w:bookmarkStart w:id="4" w:name="_Ref225234392"/>
      <w:r>
        <w:rPr>
          <w:rStyle w:val="C1HJump"/>
        </w:rPr>
        <w:t>Application Scenarios</w:t>
      </w:r>
      <w:bookmarkEnd w:id="2"/>
      <w:bookmarkEnd w:id="3"/>
      <w:bookmarkEnd w:id="4"/>
      <w:r>
        <w:rPr>
          <w:rStyle w:val="C1HJump"/>
          <w:vanish/>
        </w:rPr>
        <w:t>|topic=11.4 Application Scenarios;window=proc</w:t>
      </w:r>
    </w:p>
    <w:p w14:paraId="5E748CBA" w14:textId="77777777" w:rsidR="00AA46A5" w:rsidRDefault="00AA46A5" w:rsidP="00AA46A5">
      <w:pPr>
        <w:rPr>
          <w:rStyle w:val="C1HJump"/>
          <w:vanish/>
          <w:color w:val="000000" w:themeColor="text1"/>
        </w:rPr>
      </w:pPr>
    </w:p>
    <w:p w14:paraId="3847B614" w14:textId="77777777" w:rsidR="00AA46A5" w:rsidRDefault="00AA46A5" w:rsidP="00AA46A5">
      <w:r>
        <w:t>‘Standards</w:t>
      </w:r>
    </w:p>
    <w:p w14:paraId="3220F66E" w14:textId="77777777" w:rsidR="00AA46A5" w:rsidRDefault="00AA46A5" w:rsidP="00AA46A5">
      <w:pPr>
        <w:rPr>
          <w:rStyle w:val="C1HJump"/>
          <w:vanish/>
          <w:color w:val="000000" w:themeColor="text1"/>
        </w:rPr>
      </w:pPr>
      <w:r>
        <w:rPr>
          <w:rStyle w:val="C1HJump"/>
        </w:rPr>
        <w:t>100.0 SCOPE</w:t>
      </w:r>
      <w:r>
        <w:rPr>
          <w:rStyle w:val="C1HJump"/>
          <w:vanish/>
        </w:rPr>
        <w:t>|topic=SECTION 100.0 – SCOPE;window=proc</w:t>
      </w:r>
    </w:p>
    <w:p w14:paraId="359AB9A5" w14:textId="77777777" w:rsidR="00AA46A5" w:rsidRDefault="00AA46A5" w:rsidP="00AA46A5">
      <w:pPr>
        <w:rPr>
          <w:rStyle w:val="C1HJump"/>
          <w:vanish/>
          <w:color w:val="000000" w:themeColor="text1"/>
        </w:rPr>
      </w:pPr>
      <w:r>
        <w:rPr>
          <w:rStyle w:val="C1HJump"/>
        </w:rPr>
        <w:t>141.0(a) Additions (Building Energy Efficiency Standards)</w:t>
      </w:r>
      <w:r>
        <w:rPr>
          <w:rStyle w:val="C1HJump"/>
          <w:vanish/>
        </w:rPr>
        <w:t>|topic=(a) Additions;window=proc</w:t>
      </w:r>
    </w:p>
    <w:p w14:paraId="0BD0C710" w14:textId="77777777" w:rsidR="00AA46A5" w:rsidRDefault="00AA46A5" w:rsidP="00AA46A5">
      <w:r>
        <w:rPr>
          <w:rStyle w:val="C1HJump"/>
        </w:rPr>
        <w:t>141.0(b) Alterations. (Building Energy Efficiency Standards)</w:t>
      </w:r>
      <w:r>
        <w:rPr>
          <w:rStyle w:val="C1HJump"/>
          <w:vanish/>
        </w:rPr>
        <w:t>|tag=b_Alterations_NR_141_0;window=proc</w:t>
      </w:r>
    </w:p>
    <w:p w14:paraId="6371554D" w14:textId="04877DE2" w:rsidR="00AA46A5" w:rsidRDefault="00AA46A5" w:rsidP="00AA46A5">
      <w:pPr>
        <w:rPr>
          <w:rStyle w:val="C1HJump"/>
          <w:color w:val="000000" w:themeColor="text1"/>
        </w:rPr>
      </w:pPr>
    </w:p>
    <w:p w14:paraId="4930294F" w14:textId="77777777" w:rsidR="00427567" w:rsidRDefault="00427567" w:rsidP="00427567">
      <w:pPr>
        <w:pStyle w:val="Heading6"/>
      </w:pPr>
      <w:r>
        <w:t>Section 2.1.2 – NR-Related Topics</w:t>
      </w:r>
    </w:p>
    <w:p w14:paraId="57AD892D" w14:textId="77777777" w:rsidR="00427567" w:rsidRDefault="00427567" w:rsidP="00427567">
      <w:pPr>
        <w:ind w:left="540" w:hanging="540"/>
      </w:pPr>
      <w:r w:rsidRPr="009A23D5">
        <w:rPr>
          <w:rStyle w:val="Char-CapsandBoldChar"/>
          <w:rFonts w:eastAsiaTheme="minorHAnsi"/>
          <w:vanish/>
        </w:rPr>
        <w:t>'</w:t>
      </w:r>
      <w:r>
        <w:t>Standards</w:t>
      </w:r>
    </w:p>
    <w:p w14:paraId="37745625" w14:textId="77777777" w:rsidR="00427567" w:rsidRPr="00AD7A7B" w:rsidRDefault="00427567" w:rsidP="00427567">
      <w:pPr>
        <w:rPr>
          <w:rStyle w:val="C1HJump"/>
        </w:rPr>
      </w:pPr>
      <w:r w:rsidRPr="00AD7A7B">
        <w:rPr>
          <w:rStyle w:val="C1HJump"/>
        </w:rPr>
        <w:t>140.3(a) Envelope Component|topic=(a) Envelope Component;window=proc</w:t>
      </w:r>
    </w:p>
    <w:p w14:paraId="05199845" w14:textId="77777777" w:rsidR="00427567" w:rsidRDefault="00427567" w:rsidP="00427567"/>
    <w:p w14:paraId="41F345D7" w14:textId="77777777" w:rsidR="00427567" w:rsidRDefault="00427567" w:rsidP="00427567">
      <w:pPr>
        <w:pStyle w:val="Heading6"/>
      </w:pPr>
      <w:r>
        <w:t>Section 2.5 – NR-Related Topics</w:t>
      </w:r>
    </w:p>
    <w:p w14:paraId="2CCB1A7B" w14:textId="77777777" w:rsidR="00427567" w:rsidRDefault="00427567" w:rsidP="00427567">
      <w:r w:rsidRPr="009A23D5">
        <w:rPr>
          <w:rStyle w:val="Char-CapsandBoldChar"/>
          <w:rFonts w:eastAsiaTheme="minorHAnsi"/>
          <w:vanish/>
        </w:rPr>
        <w:t>'</w:t>
      </w:r>
      <w:r>
        <w:t>Standards</w:t>
      </w:r>
    </w:p>
    <w:p w14:paraId="06C39E34" w14:textId="77777777" w:rsidR="00427567" w:rsidRDefault="00427567" w:rsidP="00427567">
      <w:r w:rsidRPr="00B8636B">
        <w:rPr>
          <w:rStyle w:val="C1HJump"/>
        </w:rPr>
        <w:t>140.1 PERFORMANCE APPROACH: ENERGY BUDGETS</w:t>
      </w:r>
      <w:r w:rsidRPr="00B8636B">
        <w:rPr>
          <w:rStyle w:val="C1HJump"/>
          <w:vanish/>
        </w:rPr>
        <w:t>|topic=SECTION 140.1 – PERFORMANCE APPROACH\: ENERGY BUDGETS;window=proc</w:t>
      </w:r>
    </w:p>
    <w:p w14:paraId="1998E93D" w14:textId="77777777" w:rsidR="00427567" w:rsidRDefault="00427567" w:rsidP="00427567"/>
    <w:p w14:paraId="1A38936B" w14:textId="77777777" w:rsidR="00427567" w:rsidRDefault="00427567" w:rsidP="00427567">
      <w:pPr>
        <w:pStyle w:val="Heading6"/>
      </w:pPr>
      <w:r>
        <w:t>Section 2.5.1 – NR-Related Topics</w:t>
      </w:r>
    </w:p>
    <w:p w14:paraId="077C2393" w14:textId="77777777" w:rsidR="00427567" w:rsidRDefault="00427567" w:rsidP="00427567">
      <w:r w:rsidRPr="009A23D5">
        <w:rPr>
          <w:rStyle w:val="Char-CapsandBoldChar"/>
          <w:rFonts w:eastAsiaTheme="minorHAnsi"/>
          <w:vanish/>
        </w:rPr>
        <w:t>'</w:t>
      </w:r>
      <w:r>
        <w:t>Standards</w:t>
      </w:r>
    </w:p>
    <w:p w14:paraId="406D7E9E" w14:textId="77777777" w:rsidR="00427567" w:rsidRDefault="00427567" w:rsidP="00427567">
      <w:r w:rsidRPr="00F72C8C">
        <w:rPr>
          <w:rStyle w:val="C1HJump"/>
        </w:rPr>
        <w:t>140.4(a) Sizing and Equipment Selection.</w:t>
      </w:r>
      <w:r w:rsidRPr="00F72C8C">
        <w:rPr>
          <w:rStyle w:val="C1HJump"/>
          <w:vanish/>
        </w:rPr>
        <w:t>|topic=(a) Sizing and Equipment Selection.;window=proc</w:t>
      </w:r>
    </w:p>
    <w:p w14:paraId="439F406D" w14:textId="77777777" w:rsidR="00427567" w:rsidRDefault="00427567" w:rsidP="00427567">
      <w:r w:rsidRPr="008A1076">
        <w:rPr>
          <w:rStyle w:val="C1HJump"/>
        </w:rPr>
        <w:t>140.4(b) Calculations.</w:t>
      </w:r>
      <w:r w:rsidRPr="008A1076">
        <w:rPr>
          <w:rStyle w:val="C1HJump"/>
          <w:vanish/>
        </w:rPr>
        <w:t>|topic=(b) Calculations.;window=proc</w:t>
      </w:r>
    </w:p>
    <w:p w14:paraId="4F7764F2" w14:textId="77777777" w:rsidR="00427567" w:rsidRDefault="00427567" w:rsidP="00427567"/>
    <w:p w14:paraId="32687F77" w14:textId="77777777" w:rsidR="00427567" w:rsidRDefault="00427567" w:rsidP="00427567">
      <w:pPr>
        <w:pStyle w:val="Heading6"/>
      </w:pPr>
      <w:r>
        <w:t>Section 5.1.2 – NR-Related Topics</w:t>
      </w:r>
    </w:p>
    <w:p w14:paraId="6DEED31E" w14:textId="77777777" w:rsidR="00427567" w:rsidRDefault="00427567" w:rsidP="00427567">
      <w:r w:rsidRPr="009A23D5">
        <w:rPr>
          <w:rStyle w:val="Char-CapsandBoldChar"/>
          <w:rFonts w:eastAsiaTheme="minorHAnsi"/>
        </w:rPr>
        <w:t>'</w:t>
      </w:r>
      <w:r>
        <w:t>Standards</w:t>
      </w:r>
    </w:p>
    <w:p w14:paraId="7E260C66" w14:textId="77777777" w:rsidR="00427567" w:rsidRDefault="00427567" w:rsidP="00427567">
      <w:r w:rsidRPr="00964322">
        <w:rPr>
          <w:rStyle w:val="C1HJump"/>
        </w:rPr>
        <w:t>140.9 PRESCRIPTIVE REQUIREMENTS FOR COVERED PROCESSES</w:t>
      </w:r>
      <w:r w:rsidRPr="00964322">
        <w:rPr>
          <w:rStyle w:val="C1HJump"/>
          <w:vanish/>
        </w:rPr>
        <w:t>|topic=SECTION 140.9 – PRESCRIPTIVE REQUIREMENTS FOR COVERED PROCESSES;window=proc</w:t>
      </w:r>
    </w:p>
    <w:p w14:paraId="14B6917B" w14:textId="77777777" w:rsidR="00427567" w:rsidRDefault="00427567" w:rsidP="00427567"/>
    <w:p w14:paraId="3AF7C8DE" w14:textId="77777777" w:rsidR="00427567" w:rsidRDefault="00427567" w:rsidP="00427567">
      <w:pPr>
        <w:pStyle w:val="Heading6"/>
      </w:pPr>
      <w:r>
        <w:t>Section 5.7 – NR-Related Topics</w:t>
      </w:r>
    </w:p>
    <w:p w14:paraId="4EE1B46E" w14:textId="77777777" w:rsidR="00427567" w:rsidRDefault="00427567" w:rsidP="00427567">
      <w:r w:rsidRPr="009A23D5">
        <w:rPr>
          <w:rStyle w:val="Char-CapsandBoldChar"/>
          <w:rFonts w:eastAsiaTheme="minorHAnsi"/>
        </w:rPr>
        <w:t>'</w:t>
      </w:r>
      <w:r>
        <w:t>Standards</w:t>
      </w:r>
    </w:p>
    <w:p w14:paraId="43D3BA40" w14:textId="77777777" w:rsidR="00427567" w:rsidRDefault="00427567" w:rsidP="00427567">
      <w:r w:rsidRPr="00CF180A">
        <w:rPr>
          <w:rStyle w:val="C1HJump"/>
        </w:rPr>
        <w:t xml:space="preserve">140.4 </w:t>
      </w:r>
      <w:r w:rsidRPr="00CF180A">
        <w:rPr>
          <w:rStyle w:val="C1HJump"/>
          <w:rFonts w:eastAsia="Calibri" w:cs="Times New Roman"/>
        </w:rPr>
        <w:t>PRESCRIPTIVE REQUIREMENTS FOR SPACE CONDITIONING SYSTEMS</w:t>
      </w:r>
      <w:r w:rsidRPr="00CF180A">
        <w:rPr>
          <w:rStyle w:val="C1HJump"/>
          <w:vanish/>
        </w:rPr>
        <w:t>|topic=SECTION 140.4 – PRESCRIPTIVE REQUIREMENTS FOR SPACE CONDITIONING SYSTEMS;window=proc</w:t>
      </w:r>
    </w:p>
    <w:p w14:paraId="2C9CFE5F" w14:textId="77777777" w:rsidR="00427567" w:rsidRDefault="00427567" w:rsidP="00427567">
      <w:r w:rsidRPr="00A70DB0">
        <w:rPr>
          <w:rStyle w:val="C1HJump"/>
        </w:rPr>
        <w:t>140.9 PRESCRIPTIVE REQUIREMENTS FOR COVERED PROCESSES</w:t>
      </w:r>
      <w:r w:rsidRPr="00A70DB0">
        <w:rPr>
          <w:rStyle w:val="C1HJump"/>
          <w:vanish/>
        </w:rPr>
        <w:t>|topic=TABLE 140.9-A  MAXIMUM NET EXHAUST FLOW RATE\, CFM PER LINEAR FOOT OF HOOD LENGTH;window=proc</w:t>
      </w:r>
    </w:p>
    <w:p w14:paraId="1DD7432D" w14:textId="77777777" w:rsidR="00427567" w:rsidRDefault="00427567" w:rsidP="00427567"/>
    <w:p w14:paraId="6638E5D2" w14:textId="77777777" w:rsidR="00427567" w:rsidRDefault="00427567" w:rsidP="00427567">
      <w:pPr>
        <w:pStyle w:val="Heading6"/>
      </w:pPr>
      <w:r>
        <w:t>Section 5.7.6 – NR-Related Topics</w:t>
      </w:r>
    </w:p>
    <w:p w14:paraId="2FD58647" w14:textId="77777777" w:rsidR="00427567" w:rsidRDefault="00427567" w:rsidP="00427567">
      <w:r w:rsidRPr="009A23D5">
        <w:rPr>
          <w:rStyle w:val="Char-CapsandBoldChar"/>
          <w:rFonts w:eastAsiaTheme="minorHAnsi"/>
        </w:rPr>
        <w:t>'</w:t>
      </w:r>
      <w:r>
        <w:t>Standards</w:t>
      </w:r>
    </w:p>
    <w:p w14:paraId="2D8D153B" w14:textId="77777777" w:rsidR="00427567" w:rsidRDefault="00427567" w:rsidP="00427567">
      <w:r w:rsidRPr="004D3D3C">
        <w:rPr>
          <w:rStyle w:val="C1HJump"/>
        </w:rPr>
        <w:t>140.4(g) Electric Resistance Heating.</w:t>
      </w:r>
      <w:r w:rsidRPr="004D3D3C">
        <w:rPr>
          <w:rStyle w:val="C1HJump"/>
          <w:vanish/>
        </w:rPr>
        <w:t>|topic=(g) Electric Resistance Heating.;window=proc</w:t>
      </w:r>
    </w:p>
    <w:p w14:paraId="18743E32" w14:textId="77777777" w:rsidR="00427567" w:rsidRDefault="00427567" w:rsidP="00427567">
      <w:pPr>
        <w:spacing w:after="200" w:line="276" w:lineRule="auto"/>
      </w:pPr>
    </w:p>
    <w:p w14:paraId="3E82BBC3" w14:textId="77777777" w:rsidR="00427567" w:rsidRDefault="00427567" w:rsidP="00427567">
      <w:pPr>
        <w:pStyle w:val="Heading6"/>
      </w:pPr>
      <w:r>
        <w:t>Section 5.8.2 – NR Related Topics</w:t>
      </w:r>
    </w:p>
    <w:p w14:paraId="3869F923" w14:textId="77777777" w:rsidR="00427567" w:rsidRDefault="00427567" w:rsidP="00427567">
      <w:r w:rsidRPr="009A23D5">
        <w:rPr>
          <w:rStyle w:val="Char-CapsandBoldChar"/>
          <w:rFonts w:eastAsiaTheme="minorHAnsi"/>
        </w:rPr>
        <w:t>'</w:t>
      </w:r>
      <w:r>
        <w:t>Standards</w:t>
      </w:r>
    </w:p>
    <w:p w14:paraId="548790A0" w14:textId="77777777" w:rsidR="00427567" w:rsidRDefault="00427567" w:rsidP="00427567">
      <w:r w:rsidRPr="00E54F0E">
        <w:rPr>
          <w:rStyle w:val="C1HJump"/>
        </w:rPr>
        <w:t>140.4(i) Minimum Chiller Efficiency.</w:t>
      </w:r>
      <w:r w:rsidRPr="00E54F0E">
        <w:rPr>
          <w:rStyle w:val="C1HJump"/>
          <w:vanish/>
        </w:rPr>
        <w:t>|topic=(i) Minimum Chiller Efficiency.;window=proc</w:t>
      </w:r>
    </w:p>
    <w:p w14:paraId="6FC42CF4" w14:textId="77777777" w:rsidR="00427567" w:rsidRDefault="00427567" w:rsidP="00427567">
      <w:r w:rsidRPr="00E54F0E">
        <w:rPr>
          <w:rStyle w:val="C1HJump"/>
        </w:rPr>
        <w:t>140.4(j) Limitation of Air-Cooled Chillers.</w:t>
      </w:r>
      <w:r w:rsidRPr="00E54F0E">
        <w:rPr>
          <w:rStyle w:val="C1HJump"/>
          <w:vanish/>
        </w:rPr>
        <w:t>|topic=(m) Fan Control.;window=proc</w:t>
      </w:r>
    </w:p>
    <w:p w14:paraId="53FD7CE2" w14:textId="77777777" w:rsidR="00427567" w:rsidRDefault="00427567" w:rsidP="00427567"/>
    <w:p w14:paraId="3EACC7D6" w14:textId="77777777" w:rsidR="00427567" w:rsidRDefault="00427567" w:rsidP="00427567">
      <w:pPr>
        <w:pStyle w:val="Heading6"/>
      </w:pPr>
      <w:r>
        <w:t>Section 5.8.3 – NR-Related Topics</w:t>
      </w:r>
    </w:p>
    <w:p w14:paraId="057B3F80" w14:textId="77777777" w:rsidR="00427567" w:rsidRDefault="00427567" w:rsidP="00427567">
      <w:r w:rsidRPr="009A23D5">
        <w:rPr>
          <w:rStyle w:val="Char-CapsandBoldChar"/>
          <w:rFonts w:eastAsiaTheme="minorHAnsi"/>
        </w:rPr>
        <w:t>'</w:t>
      </w:r>
      <w:r>
        <w:t>Standards</w:t>
      </w:r>
    </w:p>
    <w:p w14:paraId="643FD469" w14:textId="77777777" w:rsidR="00427567" w:rsidRDefault="00427567" w:rsidP="00427567">
      <w:r w:rsidRPr="00BC0B74">
        <w:rPr>
          <w:rStyle w:val="C1HJump"/>
        </w:rPr>
        <w:t>140.4(h) Heat Rejection Systems.</w:t>
      </w:r>
      <w:r w:rsidRPr="00BC0B74">
        <w:rPr>
          <w:rStyle w:val="C1HJump"/>
          <w:vanish/>
        </w:rPr>
        <w:t>|topic=(h) Heat Rejection Systems.;window=proc</w:t>
      </w:r>
      <w:r>
        <w:t> </w:t>
      </w:r>
    </w:p>
    <w:p w14:paraId="7FC4A1D9" w14:textId="77777777" w:rsidR="00427567" w:rsidRDefault="00427567" w:rsidP="00427567"/>
    <w:p w14:paraId="3581FCA4" w14:textId="77777777" w:rsidR="00427567" w:rsidRDefault="00427567" w:rsidP="00427567">
      <w:pPr>
        <w:pStyle w:val="Heading6"/>
      </w:pPr>
      <w:r>
        <w:t>Section 5.8.4 – NR-Related Topics</w:t>
      </w:r>
    </w:p>
    <w:p w14:paraId="56C5EE54" w14:textId="77777777" w:rsidR="00427567" w:rsidRDefault="00427567" w:rsidP="00427567">
      <w:r w:rsidRPr="009A23D5">
        <w:rPr>
          <w:rStyle w:val="Char-CapsandBoldChar"/>
          <w:rFonts w:eastAsiaTheme="minorHAnsi"/>
        </w:rPr>
        <w:t>'</w:t>
      </w:r>
      <w:r>
        <w:t>Standards</w:t>
      </w:r>
    </w:p>
    <w:p w14:paraId="0254E2B0" w14:textId="7CF4368A" w:rsidR="00427567" w:rsidRDefault="00427567" w:rsidP="00427567">
      <w:pPr>
        <w:rPr>
          <w:rStyle w:val="C1HJump"/>
          <w:vanish/>
        </w:rPr>
      </w:pPr>
      <w:r w:rsidRPr="00FA670D">
        <w:rPr>
          <w:rStyle w:val="C1HJump"/>
        </w:rPr>
        <w:t>140.4(e) Economizers.</w:t>
      </w:r>
      <w:r w:rsidRPr="00FA670D">
        <w:rPr>
          <w:rStyle w:val="C1HJump"/>
          <w:vanish/>
        </w:rPr>
        <w:t>|topic=(e) Economizers.;window=proc</w:t>
      </w:r>
    </w:p>
    <w:p w14:paraId="3FDD4478" w14:textId="26987EA5" w:rsidR="00A60CDD" w:rsidRDefault="00A60CDD" w:rsidP="00427567"/>
    <w:p w14:paraId="433F4B9E" w14:textId="6E44D7C5" w:rsidR="00A60CDD" w:rsidRDefault="00A60CDD" w:rsidP="00427567"/>
    <w:p w14:paraId="62168591" w14:textId="739C6747" w:rsidR="00A60CDD" w:rsidRDefault="00A60CDD" w:rsidP="00427567">
      <w:pPr>
        <w:rPr>
          <w:vanish/>
          <w:highlight w:val="yellow"/>
        </w:rPr>
      </w:pPr>
      <w:r w:rsidRPr="00A60CDD">
        <w:rPr>
          <w:vanish/>
          <w:highlight w:val="yellow"/>
        </w:rPr>
        <w:t>NR COMP</w:t>
      </w:r>
    </w:p>
    <w:p w14:paraId="5232F691" w14:textId="082A088C" w:rsidR="00A60CDD" w:rsidRDefault="00A60CDD" w:rsidP="00427567">
      <w:pPr>
        <w:rPr>
          <w:vanish/>
        </w:rPr>
      </w:pPr>
    </w:p>
    <w:p w14:paraId="3E5BC3DE" w14:textId="00ADBBEA" w:rsidR="00A60CDD" w:rsidRDefault="00A60CDD" w:rsidP="00A60CDD">
      <w:pPr>
        <w:pStyle w:val="Heading6"/>
      </w:pPr>
      <w:r>
        <w:t xml:space="preserve">Section </w:t>
      </w:r>
      <w:r>
        <w:t>3.1.1.3</w:t>
      </w:r>
      <w:bookmarkStart w:id="5" w:name="_GoBack"/>
      <w:bookmarkEnd w:id="5"/>
      <w:r>
        <w:t xml:space="preserve"> – NR-Related Topics</w:t>
      </w:r>
    </w:p>
    <w:p w14:paraId="38B8D8F4" w14:textId="77777777" w:rsidR="00A60CDD" w:rsidRDefault="00A60CDD" w:rsidP="00A60CDD">
      <w:r w:rsidRPr="009A23D5">
        <w:rPr>
          <w:rStyle w:val="Char-CapsandBoldChar"/>
          <w:rFonts w:eastAsiaTheme="minorHAnsi"/>
        </w:rPr>
        <w:t>'</w:t>
      </w:r>
      <w:r>
        <w:t>Standards</w:t>
      </w:r>
    </w:p>
    <w:p w14:paraId="6175F02A" w14:textId="54D60ABF" w:rsidR="00A60CDD" w:rsidRDefault="00A60CDD" w:rsidP="00A60CDD"/>
    <w:p w14:paraId="25C0AFCD" w14:textId="77777777" w:rsidR="00854C5A" w:rsidRPr="00AA46A5" w:rsidRDefault="00854C5A" w:rsidP="00427567"/>
    <w:sectPr w:rsidR="00854C5A" w:rsidRPr="00AA4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88F"/>
    <w:rsid w:val="00157FAA"/>
    <w:rsid w:val="002160AB"/>
    <w:rsid w:val="0039688F"/>
    <w:rsid w:val="00427567"/>
    <w:rsid w:val="00854C5A"/>
    <w:rsid w:val="00A60CDD"/>
    <w:rsid w:val="00AA46A5"/>
    <w:rsid w:val="00C73526"/>
    <w:rsid w:val="00DB35D1"/>
    <w:rsid w:val="00E7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61DB8"/>
  <w15:chartTrackingRefBased/>
  <w15:docId w15:val="{6C24727C-D3EB-4A67-9D70-B2F8A1D1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688F"/>
    <w:pPr>
      <w:spacing w:after="60" w:line="240" w:lineRule="auto"/>
    </w:pPr>
    <w:rPr>
      <w:rFonts w:ascii="Arial" w:hAnsi="Arial"/>
    </w:rPr>
  </w:style>
  <w:style w:type="paragraph" w:styleId="Heading6">
    <w:name w:val="heading 6"/>
    <w:basedOn w:val="Normal"/>
    <w:next w:val="Normal"/>
    <w:link w:val="Heading6Char"/>
    <w:unhideWhenUsed/>
    <w:qFormat/>
    <w:rsid w:val="0039688F"/>
    <w:pPr>
      <w:keepNext/>
      <w:keepLines/>
      <w:spacing w:before="60" w:after="0"/>
      <w:outlineLvl w:val="5"/>
    </w:pPr>
    <w:rPr>
      <w:rFonts w:eastAsiaTheme="majorEastAsia" w:cstheme="majorBidi"/>
      <w:iCs/>
      <w:color w:val="000000" w:themeColor="text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9688F"/>
    <w:rPr>
      <w:rFonts w:ascii="Arial" w:eastAsiaTheme="majorEastAsia" w:hAnsi="Arial" w:cstheme="majorBidi"/>
      <w:iCs/>
      <w:color w:val="000000" w:themeColor="text1"/>
      <w:u w:val="single"/>
    </w:rPr>
  </w:style>
  <w:style w:type="character" w:customStyle="1" w:styleId="C1HJump">
    <w:name w:val="C1H Jump"/>
    <w:basedOn w:val="DefaultParagraphFont"/>
    <w:rsid w:val="0039688F"/>
    <w:rPr>
      <w:color w:val="008000"/>
    </w:rPr>
  </w:style>
  <w:style w:type="paragraph" w:customStyle="1" w:styleId="Char-CapsandBold">
    <w:name w:val="Char - Caps and Bold"/>
    <w:basedOn w:val="Normal"/>
    <w:link w:val="Char-CapsandBoldChar"/>
    <w:rsid w:val="0039688F"/>
    <w:pPr>
      <w:suppressAutoHyphens/>
      <w:spacing w:before="120" w:after="0"/>
    </w:pPr>
    <w:rPr>
      <w:rFonts w:ascii="Times New Roman" w:eastAsia="Times New Roman" w:hAnsi="Times New Roman" w:cs="Times New Roman"/>
      <w:b/>
      <w:caps/>
      <w:sz w:val="20"/>
      <w:szCs w:val="20"/>
    </w:rPr>
  </w:style>
  <w:style w:type="character" w:customStyle="1" w:styleId="Char-CapsandBoldChar">
    <w:name w:val="Char - Caps and Bold Char"/>
    <w:link w:val="Char-CapsandBold"/>
    <w:rsid w:val="0039688F"/>
    <w:rPr>
      <w:rFonts w:ascii="Times New Roman" w:eastAsia="Times New Roman" w:hAnsi="Times New Roman" w:cs="Times New Roman"/>
      <w:b/>
      <w:caps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54C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54C5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Donaldson</dc:creator>
  <cp:keywords/>
  <dc:description/>
  <cp:lastModifiedBy>Wendy Donaldson</cp:lastModifiedBy>
  <cp:revision>8</cp:revision>
  <dcterms:created xsi:type="dcterms:W3CDTF">2018-06-21T00:15:00Z</dcterms:created>
  <dcterms:modified xsi:type="dcterms:W3CDTF">2018-07-27T04:53:00Z</dcterms:modified>
</cp:coreProperties>
</file>